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B2F8" w14:textId="22FD7DF8" w:rsidR="00473E6A" w:rsidRPr="00DB0A3D" w:rsidRDefault="002F5D2F" w:rsidP="00DB0A3D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2D65DE42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FB42" w14:textId="77777777" w:rsidR="00473E6A" w:rsidRPr="00A20F52" w:rsidRDefault="00473E6A" w:rsidP="00DB0A3D">
      <w:pPr>
        <w:adjustRightInd w:val="0"/>
        <w:snapToGrid w:val="0"/>
        <w:spacing w:before="0" w:beforeAutospacing="0" w:after="0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03F2B650" w14:textId="77777777" w:rsidR="008551D1" w:rsidRPr="008551D1" w:rsidRDefault="008551D1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/>
          <w:sz w:val="40"/>
          <w:szCs w:val="40"/>
        </w:rPr>
      </w:pP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5C021EB" w14:textId="77777777" w:rsidR="000B427C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78A53A72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EF0BE30" w14:textId="77777777" w:rsidR="000B427C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66E233F9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6BACC29" w14:textId="77777777" w:rsidR="00DB0A3D" w:rsidRDefault="00DB0A3D" w:rsidP="00DB0A3D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7372525" w14:textId="77777777" w:rsidR="00DB0A3D" w:rsidRPr="00D83E64" w:rsidRDefault="00DB0A3D" w:rsidP="00DB0A3D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1998FE25" w14:textId="77777777" w:rsidR="00DB0A3D" w:rsidRPr="00D83E64" w:rsidRDefault="00DB0A3D" w:rsidP="00DB0A3D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1D5A951B" w14:textId="77777777" w:rsidR="00DB0A3D" w:rsidRDefault="00DB0A3D" w:rsidP="00DB0A3D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3716E11C" w14:textId="77777777" w:rsidR="00DB0A3D" w:rsidRPr="0031201A" w:rsidRDefault="00DB0A3D" w:rsidP="00DB0A3D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DB0A3D" w:rsidRPr="00A20F52" w14:paraId="354B1742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C6C0C6" w14:textId="77777777" w:rsidR="00DB0A3D" w:rsidRPr="00A20F52" w:rsidRDefault="00DB0A3D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DE17FC" w14:textId="77777777" w:rsidR="00DB0A3D" w:rsidRPr="00360E71" w:rsidRDefault="00DB0A3D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DB0A3D" w:rsidRPr="00A20F52" w14:paraId="0D61EAF8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CC80A6F" w14:textId="77777777" w:rsidR="00DB0A3D" w:rsidRPr="000949A0" w:rsidRDefault="00DB0A3D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4F46E" w14:textId="77777777" w:rsidR="00DB0A3D" w:rsidRPr="003F4DEA" w:rsidRDefault="00DB0A3D" w:rsidP="003E4337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DB0A3D" w:rsidRPr="000949A0" w14:paraId="308C3277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7FD8C1" w14:textId="77777777" w:rsidR="00DB0A3D" w:rsidRPr="00E76EAE" w:rsidRDefault="00DB0A3D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AB217B" w14:textId="77777777" w:rsidR="00DB0A3D" w:rsidRPr="000949A0" w:rsidRDefault="00DB0A3D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03C76" w14:textId="77777777" w:rsidR="00DB0A3D" w:rsidRPr="000949A0" w:rsidRDefault="00DB0A3D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No</w:t>
            </w:r>
          </w:p>
        </w:tc>
      </w:tr>
    </w:tbl>
    <w:p w14:paraId="0D78D088" w14:textId="77777777" w:rsidR="00DB0A3D" w:rsidRDefault="00DB0A3D" w:rsidP="00DB0A3D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189037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Basic Package: Skills Advisory (1 hr).</w:t>
      </w:r>
    </w:p>
    <w:p w14:paraId="6EE4A7F4" w14:textId="77777777" w:rsidR="00DB0A3D" w:rsidRPr="00F6485F" w:rsidRDefault="00DB0A3D" w:rsidP="00DB0A3D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</w:p>
    <w:p w14:paraId="550C1E78" w14:textId="77777777" w:rsidR="00DB0A3D" w:rsidRPr="00EA0E81" w:rsidRDefault="00DB0A3D" w:rsidP="00DB0A3D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-7011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Extended Package: Skills Advisory (2 hr).</w:t>
      </w:r>
    </w:p>
    <w:p w14:paraId="04AE86D6" w14:textId="77777777" w:rsidR="008551D1" w:rsidRDefault="008551D1">
      <w:pPr>
        <w:sectPr w:rsidR="008551D1" w:rsidSect="00473E6A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95"/>
        <w:gridCol w:w="2967"/>
        <w:gridCol w:w="8060"/>
        <w:gridCol w:w="1979"/>
      </w:tblGrid>
      <w:tr w:rsidR="00A63B69" w:rsidRPr="00F65C97" w14:paraId="7FE34EF3" w14:textId="77777777" w:rsidTr="00A63B6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5678843" w14:textId="75E07EC7" w:rsidR="00A63B69" w:rsidRPr="004E522D" w:rsidRDefault="00A63B69" w:rsidP="00EE4F0D">
            <w:pPr>
              <w:ind w:left="1014" w:hanging="1014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A63B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LEARNING </w:t>
            </w:r>
            <w:r w:rsidRPr="004E522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EXPERIENCE DELIVERY</w:t>
            </w:r>
          </w:p>
        </w:tc>
      </w:tr>
      <w:tr w:rsidR="00A63B69" w:rsidRPr="00CE6DD4" w14:paraId="15C8E6C9" w14:textId="77777777" w:rsidTr="00A63B69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E58BBFC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D308831" w14:textId="77777777" w:rsidR="00A63B69" w:rsidRPr="00E7393B" w:rsidRDefault="00A63B6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09E58AE2" w14:textId="77777777" w:rsidR="00A63B69" w:rsidRPr="00CE6DD4" w:rsidRDefault="00A63B6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60DB3BA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6B4C62F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023A3DC" w14:textId="77777777" w:rsidR="00A63B69" w:rsidRPr="00810845" w:rsidRDefault="00A63B6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251FDE5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7E862543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B506AD4" w14:textId="77777777" w:rsidR="00A63B69" w:rsidRPr="00810845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571F5202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6799EE77" w14:textId="36FBBB87" w:rsidR="00A63B69" w:rsidRPr="00E7393B" w:rsidRDefault="00CE7A88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="00A63B69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175E3FF9" w14:textId="77777777" w:rsidR="00A63B69" w:rsidRPr="00CE6DD4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63B69" w:rsidRPr="009C06CB" w14:paraId="677CD518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4A70C1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Plan learning experience(s) that address learner needs, profiles and integrate active learning qualities</w:t>
            </w:r>
          </w:p>
          <w:p w14:paraId="5DD47DBE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  <w:p w14:paraId="3BE8D5DD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615214" w14:textId="77777777" w:rsidR="00A63B69" w:rsidRPr="009C06CB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A lesson plan</w:t>
            </w:r>
            <w:r w:rsidRPr="009C06CB">
              <w:rPr>
                <w:rFonts w:eastAsia="Times New Roman" w:cstheme="minorHAnsi"/>
                <w:szCs w:val="20"/>
                <w:u w:val="single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and relevant courseware such as slides, learner or facilitator guides </w:t>
            </w:r>
            <w:r w:rsidRPr="009C06CB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 and/or a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video recording,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illustrating the following:</w:t>
            </w:r>
          </w:p>
          <w:p w14:paraId="2696BE75" w14:textId="77777777" w:rsidR="00A63B69" w:rsidRPr="009C06CB" w:rsidRDefault="00DB0A3D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-10449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Learner profile of the intended classroom learning in the context of learners’ work and/or industry and/or practice.</w:t>
            </w:r>
          </w:p>
          <w:p w14:paraId="00154548" w14:textId="77777777" w:rsidR="00A63B69" w:rsidRPr="009C06CB" w:rsidRDefault="00DB0A3D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3593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At least </w:t>
            </w:r>
            <w:r w:rsidR="00A63B69" w:rsidRPr="009C06CB">
              <w:rPr>
                <w:rFonts w:cstheme="minorHAnsi"/>
                <w:b/>
                <w:color w:val="000000"/>
                <w:szCs w:val="20"/>
                <w:lang w:val="en-US" w:eastAsia="zh-CN"/>
              </w:rPr>
              <w:t>two (2)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 learning outcomes were related to the learner profile, and learning needs.</w:t>
            </w:r>
          </w:p>
          <w:p w14:paraId="4B0F862A" w14:textId="77777777" w:rsidR="00A63B69" w:rsidRPr="009C06CB" w:rsidRDefault="00DB0A3D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5147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Appropriate instructional methods, learning activities and possible technology tools for the classroom-based learning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DD24" w14:textId="77777777" w:rsidR="00A63B69" w:rsidRPr="00E7393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Point out in your documents and artefacts, where it could be seen that a conducive learning environment was created to achieve learning needs.</w:t>
            </w:r>
          </w:p>
          <w:p w14:paraId="29227410" w14:textId="77777777" w:rsidR="00A63B69" w:rsidRPr="009C06C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Helvetica Neue" w:cstheme="minorHAnsi"/>
                <w:bCs/>
                <w:color w:val="000000"/>
                <w:szCs w:val="20"/>
                <w:bdr w:val="nil"/>
                <w:lang w:val="en-US" w:eastAsia="zh-TW"/>
              </w:rPr>
              <w:t>You should be able to relate during the interview, the evidence presented, to considerations of instructional design theories, Instructional methods, and supporting learning activities.</w:t>
            </w:r>
          </w:p>
          <w:p w14:paraId="29CB5651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2303DE98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BB265B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EBB7575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95E1D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905FB3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83BF2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A492843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9A7E2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E6D35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46B8E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3220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B41E38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62C554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698B1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2BA6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612B0B1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09C2BC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DAC63E" w14:textId="77777777" w:rsidR="00CE7A88" w:rsidRPr="00C71894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3038E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B698316" w14:textId="77777777" w:rsidR="00A63B69" w:rsidRPr="009C06CB" w:rsidRDefault="00A63B69" w:rsidP="00CE7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90C5" w14:textId="38BE5CC7" w:rsidR="00A63B69" w:rsidRPr="009C06CB" w:rsidRDefault="00C2098E" w:rsidP="00EE4F0D">
            <w:pPr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269E7224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07D967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Deploy a variety of facilitation, questioning and communication methods and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2C1C89" w14:textId="77777777" w:rsidR="00A63B69" w:rsidRPr="00D94BFA" w:rsidRDefault="00A63B69" w:rsidP="00EE4F0D">
            <w:pPr>
              <w:adjustRightInd w:val="0"/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The </w:t>
            </w:r>
            <w:r>
              <w:rPr>
                <w:rFonts w:eastAsia="Times New Roman" w:cstheme="minorHAnsi"/>
                <w:szCs w:val="20"/>
                <w:lang w:val="en-US"/>
              </w:rPr>
              <w:t>l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 xml:space="preserve">esson </w:t>
            </w:r>
            <w:r>
              <w:rPr>
                <w:rFonts w:eastAsia="Times New Roman" w:cstheme="minorHAnsi"/>
                <w:szCs w:val="20"/>
                <w:lang w:val="en-US"/>
              </w:rPr>
              <w:t>p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>lan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 w:rsidRPr="000A1F3A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should also include the following:</w:t>
            </w:r>
          </w:p>
          <w:p w14:paraId="324F7EA0" w14:textId="77777777" w:rsidR="00A63B69" w:rsidRPr="000A1F3A" w:rsidRDefault="00DB0A3D" w:rsidP="00EE4F0D">
            <w:pPr>
              <w:tabs>
                <w:tab w:val="left" w:pos="342"/>
              </w:tabs>
              <w:adjustRightInd w:val="0"/>
              <w:spacing w:after="12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9831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 xml:space="preserve">A variety of instructional methods </w:t>
            </w:r>
          </w:p>
          <w:p w14:paraId="2EB98536" w14:textId="77777777" w:rsidR="00A63B69" w:rsidRDefault="00DB0A3D" w:rsidP="00EE4F0D">
            <w:pPr>
              <w:adjustRightInd w:val="0"/>
              <w:spacing w:after="120"/>
              <w:ind w:left="255" w:hanging="255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2222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0A1F3A">
                  <w:rPr>
                    <w:rFonts w:ascii="Segoe UI Symbol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>Appropriate learning activities underpinned by Instructional Design (Adult Learning) principles</w:t>
            </w:r>
          </w:p>
          <w:p w14:paraId="1E382E3A" w14:textId="77777777" w:rsidR="00A63B69" w:rsidRPr="009C06CB" w:rsidRDefault="00A63B69" w:rsidP="00EE4F0D">
            <w:pPr>
              <w:adjustRightInd w:val="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3717" w14:textId="77777777" w:rsidR="00A63B69" w:rsidRDefault="00A63B69" w:rsidP="00EE4F0D">
            <w:pPr>
              <w:pStyle w:val="ListParagraph"/>
              <w:numPr>
                <w:ilvl w:val="0"/>
                <w:numId w:val="4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ind w:left="315"/>
              <w:contextualSpacing w:val="0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Point out examples 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and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evidence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of:</w:t>
            </w:r>
          </w:p>
          <w:p w14:paraId="29186D43" w14:textId="77777777" w:rsidR="00A63B69" w:rsidRPr="000A1F3A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Use of a variety of instructional methods.</w:t>
            </w:r>
          </w:p>
          <w:p w14:paraId="29245937" w14:textId="77777777" w:rsidR="00A63B69" w:rsidRPr="004763C6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FF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Deployment of appropriate learning aids to help the learners achieve the learning outcomes.</w:t>
            </w:r>
          </w:p>
          <w:p w14:paraId="727F5D75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48D1B24D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B31407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833C3F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AB1202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DE9764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362A7CD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CC4076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FB22018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/>
              </w:rPr>
            </w:pPr>
          </w:p>
          <w:p w14:paraId="5F8616AD" w14:textId="77777777" w:rsidR="00A63B69" w:rsidRPr="00A20F52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E282" w14:textId="1E483546" w:rsidR="00A63B69" w:rsidRPr="009C06CB" w:rsidRDefault="00C2098E" w:rsidP="00EE4F0D">
            <w:pPr>
              <w:rPr>
                <w:rFonts w:cstheme="minorHAnsi"/>
                <w:i/>
                <w:color w:val="2F5496" w:themeColor="accent1" w:themeShade="B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014515DF" w14:textId="77777777" w:rsidTr="00A63B69">
        <w:trPr>
          <w:trHeight w:val="29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8D8B8C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Manage challenges and group dynamics that arise in the conduct of the learning activities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2F43BC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  <w:p w14:paraId="3C46873F" w14:textId="77777777" w:rsidR="00A63B69" w:rsidRPr="000A1F3A" w:rsidRDefault="00A63B69" w:rsidP="00EE4F0D">
            <w:pPr>
              <w:adjustRightInd w:val="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0C7" w14:textId="77777777" w:rsidR="00A63B69" w:rsidRPr="008774D8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57"/>
              <w:rPr>
                <w:rFonts w:eastAsia="Times New Roman" w:cstheme="minorHAnsi"/>
                <w:szCs w:val="20"/>
                <w:lang w:val="en-US"/>
              </w:rPr>
            </w:pPr>
            <w:r w:rsidRPr="008774D8">
              <w:rPr>
                <w:rFonts w:eastAsia="Times New Roman" w:cstheme="minorHAnsi"/>
                <w:szCs w:val="20"/>
                <w:lang w:val="en-US"/>
              </w:rPr>
              <w:t xml:space="preserve">Prepare to </w:t>
            </w:r>
            <w:r>
              <w:rPr>
                <w:rFonts w:eastAsia="Times New Roman" w:cstheme="minorHAnsi"/>
                <w:szCs w:val="20"/>
                <w:lang w:val="en-US"/>
              </w:rPr>
              <w:t>share in the interview, an example of how you managed challenges and group dynamics that arose in the conduct of the learning activities</w:t>
            </w:r>
          </w:p>
          <w:p w14:paraId="5E8ADAC7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1A0C06D1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FF7E122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3848ADA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ECF9B3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D81AA5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271FD3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5A6E3FB0" w14:textId="77777777" w:rsidR="00A63B69" w:rsidRPr="00C71894" w:rsidRDefault="00A63B69" w:rsidP="00EE4F0D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120"/>
              <w:ind w:left="-45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</w:p>
          <w:p w14:paraId="528E32E1" w14:textId="77777777" w:rsidR="00A63B69" w:rsidRPr="00C71894" w:rsidRDefault="00A63B69" w:rsidP="00EE4F0D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9D1" w14:textId="21498419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694D199F" w14:textId="77777777" w:rsidTr="00A63B69">
        <w:trPr>
          <w:trHeight w:val="4697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4AF4D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Adjust delivery plans and/or delivery according to learner progress, emerging trends and developments in facilitation and learner engagement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60C04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E21A" w14:textId="77777777" w:rsidR="00A63B69" w:rsidRPr="000A1F3A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eastAsia="Times New Roman" w:cstheme="minorHAnsi"/>
                <w:szCs w:val="20"/>
                <w:lang w:val="en-GB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Be ready in the interview, to p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oint to </w:t>
            </w:r>
            <w:r w:rsidRPr="00070CBB">
              <w:rPr>
                <w:rFonts w:eastAsia="Times New Roman" w:cstheme="minorHAnsi"/>
                <w:b/>
                <w:szCs w:val="20"/>
                <w:lang w:val="en-US"/>
              </w:rPr>
              <w:t>one (1)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Cs w:val="20"/>
                <w:lang w:val="en-US"/>
              </w:rPr>
              <w:t>instance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in your evidence of how any of the following was adjusted and/or improved in response to learners’ progress and evolving needs to improve learning outcomes:</w:t>
            </w:r>
          </w:p>
          <w:p w14:paraId="1119C19C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666ADBDC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425400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41756BE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E6781F4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3F139B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083F2328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9345FB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6948D36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9E42F2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1F1BF3D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242595C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2C818507" w14:textId="77777777" w:rsidR="00A63B69" w:rsidRPr="00C71894" w:rsidRDefault="00A63B69" w:rsidP="00EE4F0D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7FD92BEA" w14:textId="77777777" w:rsidR="00A63B69" w:rsidRPr="00C71894" w:rsidRDefault="00A63B69" w:rsidP="00EE4F0D">
            <w:pPr>
              <w:tabs>
                <w:tab w:val="left" w:pos="2805"/>
              </w:tabs>
              <w:rPr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B00F" w14:textId="7C2996BB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1B73653A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B052" w14:textId="77777777" w:rsidR="00EF3CD6" w:rsidRDefault="00EF3CD6" w:rsidP="00A20F52">
      <w:pPr>
        <w:spacing w:before="0" w:after="0"/>
      </w:pPr>
      <w:r>
        <w:separator/>
      </w:r>
    </w:p>
  </w:endnote>
  <w:endnote w:type="continuationSeparator" w:id="0">
    <w:p w14:paraId="4F456626" w14:textId="77777777" w:rsidR="00EF3CD6" w:rsidRDefault="00EF3CD6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53CBC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.0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515" w14:textId="77777777" w:rsidR="00EF3CD6" w:rsidRDefault="00EF3CD6" w:rsidP="00A20F52">
      <w:pPr>
        <w:spacing w:before="0" w:after="0"/>
      </w:pPr>
      <w:r>
        <w:separator/>
      </w:r>
    </w:p>
  </w:footnote>
  <w:footnote w:type="continuationSeparator" w:id="0">
    <w:p w14:paraId="357ABA5D" w14:textId="77777777" w:rsidR="00EF3CD6" w:rsidRDefault="00EF3CD6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132E7C94" w14:textId="09E84D0D" w:rsidR="00DC1EF5" w:rsidRDefault="00A63B69" w:rsidP="00A63B69">
    <w:pPr>
      <w:pStyle w:val="Header"/>
    </w:pPr>
    <w:r>
      <w:rPr>
        <w:rFonts w:cstheme="minorHAnsi"/>
        <w:b/>
        <w:sz w:val="24"/>
        <w:szCs w:val="24"/>
      </w:rPr>
      <w:t>DELIVERY &amp; EXECUTION</w:t>
    </w:r>
    <w:r w:rsidR="008551D1" w:rsidRPr="008551D1">
      <w:rPr>
        <w:rFonts w:cstheme="minorHAnsi"/>
        <w:b/>
        <w:sz w:val="24"/>
        <w:szCs w:val="24"/>
      </w:rPr>
      <w:t xml:space="preserve">: </w:t>
    </w:r>
    <w:r>
      <w:rPr>
        <w:rFonts w:cstheme="minorHAnsi"/>
        <w:b/>
        <w:sz w:val="24"/>
        <w:szCs w:val="24"/>
      </w:rPr>
      <w:t>LEARNING EXPERIENCE DELIVERY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427C"/>
    <w:rsid w:val="000B568C"/>
    <w:rsid w:val="0010072B"/>
    <w:rsid w:val="00140A7E"/>
    <w:rsid w:val="0018226D"/>
    <w:rsid w:val="001F6727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4552D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505349"/>
    <w:rsid w:val="00517561"/>
    <w:rsid w:val="005B1A0D"/>
    <w:rsid w:val="005F146A"/>
    <w:rsid w:val="00610D55"/>
    <w:rsid w:val="006443D6"/>
    <w:rsid w:val="0064696F"/>
    <w:rsid w:val="00694455"/>
    <w:rsid w:val="006979FA"/>
    <w:rsid w:val="006B5372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C09FE"/>
    <w:rsid w:val="008D4521"/>
    <w:rsid w:val="008E3BF1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2098E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DA104A"/>
    <w:rsid w:val="00DB0A3D"/>
    <w:rsid w:val="00DC1EF5"/>
    <w:rsid w:val="00E11AF7"/>
    <w:rsid w:val="00E46DD7"/>
    <w:rsid w:val="00E6115F"/>
    <w:rsid w:val="00E76EAE"/>
    <w:rsid w:val="00E80491"/>
    <w:rsid w:val="00E96693"/>
    <w:rsid w:val="00EB5D61"/>
    <w:rsid w:val="00EF28CB"/>
    <w:rsid w:val="00EF3CD6"/>
    <w:rsid w:val="00F15F59"/>
    <w:rsid w:val="00F2373D"/>
    <w:rsid w:val="00F60D42"/>
    <w:rsid w:val="00F753F7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6</cp:revision>
  <cp:lastPrinted>2023-01-25T07:03:00Z</cp:lastPrinted>
  <dcterms:created xsi:type="dcterms:W3CDTF">2024-07-05T05:30:00Z</dcterms:created>
  <dcterms:modified xsi:type="dcterms:W3CDTF">2025-03-28T08:19:00Z</dcterms:modified>
</cp:coreProperties>
</file>